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A4782F">
        <w:rPr>
          <w:rFonts w:ascii="Times New Roman" w:hAnsi="Times New Roman" w:cs="Times New Roman"/>
          <w:b/>
          <w:sz w:val="28"/>
          <w:szCs w:val="28"/>
        </w:rPr>
        <w:t>Сергиевск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B5BE0">
        <w:rPr>
          <w:rFonts w:ascii="Times New Roman" w:hAnsi="Times New Roman" w:cs="Times New Roman"/>
          <w:b/>
          <w:sz w:val="28"/>
          <w:szCs w:val="28"/>
        </w:rPr>
        <w:t>2</w:t>
      </w:r>
      <w:r w:rsidR="006558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DB5BE0">
        <w:rPr>
          <w:rFonts w:ascii="Times New Roman" w:hAnsi="Times New Roman" w:cs="Times New Roman"/>
          <w:sz w:val="28"/>
          <w:szCs w:val="28"/>
        </w:rPr>
        <w:t>2</w:t>
      </w:r>
      <w:r w:rsidR="006558BF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A4782F">
        <w:rPr>
          <w:rFonts w:ascii="Times New Roman" w:hAnsi="Times New Roman" w:cs="Times New Roman"/>
          <w:sz w:val="28"/>
          <w:szCs w:val="28"/>
        </w:rPr>
        <w:t>25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25509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525509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6558B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6558B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6558B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A4782F">
        <w:rPr>
          <w:rFonts w:ascii="Times New Roman" w:hAnsi="Times New Roman" w:cs="Times New Roman"/>
          <w:sz w:val="28"/>
          <w:szCs w:val="28"/>
        </w:rPr>
        <w:t>8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A4782F">
        <w:rPr>
          <w:rFonts w:ascii="Times New Roman" w:hAnsi="Times New Roman" w:cs="Times New Roman"/>
          <w:sz w:val="28"/>
          <w:szCs w:val="28"/>
        </w:rPr>
        <w:t>27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6C6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кв. метров для индивидуальных предпринимателей со среднесписочной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численностью работников не менее 3 человек за предшествующий налоговый период;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Освобождение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5F4515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525509">
        <w:rPr>
          <w:rFonts w:ascii="Times New Roman" w:hAnsi="Times New Roman" w:cs="Times New Roman"/>
          <w:sz w:val="28"/>
          <w:szCs w:val="28"/>
        </w:rPr>
        <w:t>10</w:t>
      </w:r>
      <w:r w:rsidR="00B93387">
        <w:rPr>
          <w:rFonts w:ascii="Times New Roman" w:hAnsi="Times New Roman" w:cs="Times New Roman"/>
          <w:sz w:val="28"/>
          <w:szCs w:val="28"/>
        </w:rPr>
        <w:t>690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</w:t>
      </w:r>
      <w:proofErr w:type="gramStart"/>
      <w:r w:rsidR="00A4782F">
        <w:rPr>
          <w:rFonts w:ascii="Times New Roman" w:hAnsi="Times New Roman" w:cs="Times New Roman"/>
          <w:sz w:val="28"/>
          <w:szCs w:val="28"/>
        </w:rPr>
        <w:t>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язи с предоставлением льготы налогоплательщикам (выпадающие доходы)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B93387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B93387">
        <w:rPr>
          <w:rFonts w:ascii="Times New Roman" w:hAnsi="Times New Roman" w:cs="Times New Roman"/>
          <w:sz w:val="28"/>
          <w:szCs w:val="28"/>
        </w:rPr>
        <w:t>79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5255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933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B9338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льготами по земельному налогу для</w:t>
      </w:r>
      <w:r w:rsidR="00B9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казенных учреждений, финансируемые за счет средств местного бюджета и специализированные областные некоммерческие организации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</w:t>
      </w:r>
      <w:proofErr w:type="gramStart"/>
      <w:r w:rsidR="00A4782F">
        <w:rPr>
          <w:rFonts w:ascii="Times New Roman" w:hAnsi="Times New Roman" w:cs="Times New Roman"/>
          <w:sz w:val="28"/>
          <w:szCs w:val="28"/>
        </w:rPr>
        <w:t>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A4782F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A4782F" w:rsidRPr="00A4782F">
        <w:rPr>
          <w:rFonts w:ascii="Times New Roman" w:hAnsi="Times New Roman" w:cs="Times New Roman"/>
          <w:b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EA0089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инвалиды.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EA0089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79"/>
        <w:gridCol w:w="1099"/>
        <w:gridCol w:w="1302"/>
        <w:gridCol w:w="1377"/>
        <w:gridCol w:w="1307"/>
        <w:gridCol w:w="1307"/>
      </w:tblGrid>
      <w:tr w:rsidR="00EA0089" w:rsidRPr="00D83627" w:rsidTr="00EA0089">
        <w:tc>
          <w:tcPr>
            <w:tcW w:w="3179" w:type="dxa"/>
          </w:tcPr>
          <w:p w:rsidR="00EA0089" w:rsidRPr="00D83627" w:rsidRDefault="00EA0089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9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0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A0089" w:rsidRPr="00D83627" w:rsidTr="00EA0089">
        <w:tc>
          <w:tcPr>
            <w:tcW w:w="3179" w:type="dxa"/>
          </w:tcPr>
          <w:p w:rsidR="00EA0089" w:rsidRPr="00D83627" w:rsidRDefault="00EA008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099" w:type="dxa"/>
            <w:vAlign w:val="center"/>
          </w:tcPr>
          <w:p w:rsidR="00EA0089" w:rsidRDefault="007A5B77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302" w:type="dxa"/>
            <w:vAlign w:val="center"/>
          </w:tcPr>
          <w:p w:rsidR="00EA0089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130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30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EA0089" w:rsidRPr="00D83627" w:rsidTr="00EA0089">
        <w:tc>
          <w:tcPr>
            <w:tcW w:w="3179" w:type="dxa"/>
          </w:tcPr>
          <w:p w:rsidR="00EA0089" w:rsidRPr="00D83627" w:rsidRDefault="00EA008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099" w:type="dxa"/>
            <w:vAlign w:val="center"/>
          </w:tcPr>
          <w:p w:rsidR="00EA0089" w:rsidRDefault="007A5B77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10637</w:t>
            </w:r>
          </w:p>
        </w:tc>
        <w:tc>
          <w:tcPr>
            <w:tcW w:w="1302" w:type="dxa"/>
            <w:vAlign w:val="center"/>
          </w:tcPr>
          <w:p w:rsidR="00EA0089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10036</w:t>
            </w:r>
          </w:p>
        </w:tc>
        <w:tc>
          <w:tcPr>
            <w:tcW w:w="137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  <w:tc>
          <w:tcPr>
            <w:tcW w:w="130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4458</w:t>
            </w:r>
          </w:p>
        </w:tc>
        <w:tc>
          <w:tcPr>
            <w:tcW w:w="1307" w:type="dxa"/>
            <w:vAlign w:val="center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</w:t>
            </w:r>
          </w:p>
        </w:tc>
      </w:tr>
      <w:tr w:rsidR="00EA0089" w:rsidRPr="00D83627" w:rsidTr="00EA0089">
        <w:tc>
          <w:tcPr>
            <w:tcW w:w="3179" w:type="dxa"/>
          </w:tcPr>
          <w:p w:rsidR="00EA0089" w:rsidRPr="00D83627" w:rsidRDefault="00EA008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099" w:type="dxa"/>
          </w:tcPr>
          <w:p w:rsidR="00EA0089" w:rsidRPr="00D83627" w:rsidRDefault="00CC07CD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2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7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7" w:type="dxa"/>
          </w:tcPr>
          <w:p w:rsidR="00EA0089" w:rsidRPr="00D83627" w:rsidRDefault="00EA0089" w:rsidP="00EA0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CC07CD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CC07CD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525509">
        <w:rPr>
          <w:rFonts w:ascii="Times New Roman" w:hAnsi="Times New Roman" w:cs="Times New Roman"/>
          <w:sz w:val="28"/>
          <w:szCs w:val="28"/>
        </w:rPr>
        <w:t>2</w:t>
      </w:r>
      <w:r w:rsidR="00CC07CD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CC07CD">
        <w:rPr>
          <w:rFonts w:ascii="Times New Roman" w:hAnsi="Times New Roman" w:cs="Times New Roman"/>
          <w:sz w:val="28"/>
          <w:szCs w:val="28"/>
        </w:rPr>
        <w:t>79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C07CD">
        <w:rPr>
          <w:rFonts w:ascii="Times New Roman" w:hAnsi="Times New Roman" w:cs="Times New Roman"/>
          <w:sz w:val="28"/>
          <w:szCs w:val="28"/>
        </w:rPr>
        <w:t xml:space="preserve">в 2020 году – 36 тыс. рублей, </w:t>
      </w:r>
      <w:r w:rsidR="00525509">
        <w:rPr>
          <w:rFonts w:ascii="Times New Roman" w:hAnsi="Times New Roman" w:cs="Times New Roman"/>
          <w:sz w:val="28"/>
          <w:szCs w:val="28"/>
        </w:rPr>
        <w:t>в 2019 году – 161 тыс</w:t>
      </w:r>
      <w:proofErr w:type="gramStart"/>
      <w:r w:rsidR="005255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25509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270BDA">
        <w:rPr>
          <w:rFonts w:ascii="Times New Roman" w:hAnsi="Times New Roman" w:cs="Times New Roman"/>
          <w:sz w:val="28"/>
          <w:szCs w:val="28"/>
        </w:rPr>
        <w:t>168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 </w:t>
      </w:r>
      <w:r w:rsidR="00270BDA">
        <w:rPr>
          <w:rFonts w:ascii="Times New Roman" w:hAnsi="Times New Roman" w:cs="Times New Roman"/>
          <w:sz w:val="28"/>
          <w:szCs w:val="28"/>
        </w:rPr>
        <w:t>163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5255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5255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07C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применения технических</w:t>
      </w:r>
      <w:r w:rsidR="006008D2">
        <w:rPr>
          <w:rFonts w:ascii="Times New Roman" w:eastAsia="Times New Roman" w:hAnsi="Times New Roman" w:cs="Times New Roman"/>
          <w:b/>
          <w:sz w:val="28"/>
          <w:szCs w:val="28"/>
        </w:rPr>
        <w:t xml:space="preserve"> 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270BDA" w:rsidRPr="00270BDA">
        <w:rPr>
          <w:rFonts w:ascii="Times New Roman" w:hAnsi="Times New Roman" w:cs="Times New Roman"/>
          <w:b/>
          <w:sz w:val="28"/>
          <w:szCs w:val="28"/>
        </w:rPr>
        <w:t>Сергиевск</w:t>
      </w:r>
      <w:r w:rsidR="00270BDA" w:rsidRPr="00270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A07" w:rsidRPr="00D83627" w:rsidRDefault="008C3A07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270BDA">
        <w:rPr>
          <w:rFonts w:ascii="Times New Roman" w:hAnsi="Times New Roman" w:cs="Times New Roman"/>
          <w:sz w:val="28"/>
          <w:szCs w:val="28"/>
        </w:rPr>
        <w:t>Сергиевск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270BDA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</w:t>
      </w:r>
      <w:r w:rsidR="00CC07CD">
        <w:rPr>
          <w:rFonts w:ascii="Times New Roman" w:hAnsi="Times New Roman" w:cs="Times New Roman"/>
          <w:sz w:val="28"/>
          <w:szCs w:val="28"/>
        </w:rPr>
        <w:t xml:space="preserve">счет средств местного бюджета </w:t>
      </w:r>
      <w:r w:rsidR="00CC07CD" w:rsidRPr="0070712D">
        <w:rPr>
          <w:rFonts w:ascii="Times New Roman" w:hAnsi="Times New Roman" w:cs="Times New Roman"/>
          <w:sz w:val="28"/>
          <w:szCs w:val="28"/>
        </w:rPr>
        <w:t>и</w:t>
      </w:r>
      <w:r w:rsidR="00CC07CD">
        <w:t xml:space="preserve"> </w:t>
      </w:r>
      <w:r w:rsidR="00CC07C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="00CC07CD" w:rsidRPr="00D83627">
        <w:rPr>
          <w:rFonts w:ascii="Times New Roman" w:hAnsi="Times New Roman" w:cs="Times New Roman"/>
          <w:sz w:val="28"/>
          <w:szCs w:val="28"/>
        </w:rPr>
        <w:t>.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  <w:r w:rsidR="00CC07CD">
        <w:rPr>
          <w:rFonts w:ascii="Times New Roman" w:hAnsi="Times New Roman" w:cs="Times New Roman"/>
          <w:sz w:val="28"/>
          <w:szCs w:val="28"/>
        </w:rPr>
        <w:t xml:space="preserve"> За 2021 год воспользовались 2 организации из 55.</w:t>
      </w:r>
    </w:p>
    <w:p w:rsidR="00CC07CD" w:rsidRDefault="00CC07CD" w:rsidP="00CC07C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C51F05" w:rsidRPr="00D83627" w:rsidRDefault="00C51F05" w:rsidP="00C51F05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льготы эффективные, поскольку технический налоговый расход оказывает на социально-экономическое развитие поселения в целом, способствует устранению встречных финансовых потоков средств местного бюджета, а стимулирующий вид расхода развивает инвестиционную деятельность. </w:t>
      </w:r>
    </w:p>
    <w:sectPr w:rsidR="00C51F05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77FF"/>
    <w:rsid w:val="00191DC5"/>
    <w:rsid w:val="00270BDA"/>
    <w:rsid w:val="002A7186"/>
    <w:rsid w:val="002E1869"/>
    <w:rsid w:val="002F5228"/>
    <w:rsid w:val="00310CB1"/>
    <w:rsid w:val="0031394A"/>
    <w:rsid w:val="00372E49"/>
    <w:rsid w:val="003822DB"/>
    <w:rsid w:val="0046466F"/>
    <w:rsid w:val="004D2C1F"/>
    <w:rsid w:val="00525509"/>
    <w:rsid w:val="005A7603"/>
    <w:rsid w:val="005B53CA"/>
    <w:rsid w:val="005F4515"/>
    <w:rsid w:val="006008D2"/>
    <w:rsid w:val="00636209"/>
    <w:rsid w:val="00646F11"/>
    <w:rsid w:val="00651289"/>
    <w:rsid w:val="006558BF"/>
    <w:rsid w:val="00685D5F"/>
    <w:rsid w:val="006B455B"/>
    <w:rsid w:val="006C6045"/>
    <w:rsid w:val="007203C3"/>
    <w:rsid w:val="0078255A"/>
    <w:rsid w:val="007A5B77"/>
    <w:rsid w:val="00844CF2"/>
    <w:rsid w:val="008C3A07"/>
    <w:rsid w:val="00913F79"/>
    <w:rsid w:val="009201D8"/>
    <w:rsid w:val="00953579"/>
    <w:rsid w:val="009C4C7A"/>
    <w:rsid w:val="00A11D6C"/>
    <w:rsid w:val="00A4782F"/>
    <w:rsid w:val="00B26BF9"/>
    <w:rsid w:val="00B54554"/>
    <w:rsid w:val="00B5479A"/>
    <w:rsid w:val="00B93387"/>
    <w:rsid w:val="00C253EA"/>
    <w:rsid w:val="00C51F05"/>
    <w:rsid w:val="00C56C43"/>
    <w:rsid w:val="00C63121"/>
    <w:rsid w:val="00CC07CD"/>
    <w:rsid w:val="00D03314"/>
    <w:rsid w:val="00D61959"/>
    <w:rsid w:val="00D76EDC"/>
    <w:rsid w:val="00D83627"/>
    <w:rsid w:val="00DB5BE0"/>
    <w:rsid w:val="00E139E8"/>
    <w:rsid w:val="00EA0089"/>
    <w:rsid w:val="00EA03CB"/>
    <w:rsid w:val="00EB157D"/>
    <w:rsid w:val="00F7698D"/>
    <w:rsid w:val="00F83BB1"/>
    <w:rsid w:val="00FE7FAF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cp:lastPrinted>2023-04-20T11:59:00Z</cp:lastPrinted>
  <dcterms:created xsi:type="dcterms:W3CDTF">2021-07-05T07:10:00Z</dcterms:created>
  <dcterms:modified xsi:type="dcterms:W3CDTF">2023-04-20T11:59:00Z</dcterms:modified>
</cp:coreProperties>
</file>